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C76A" w14:textId="77777777" w:rsidR="00051223" w:rsidRDefault="00051223" w:rsidP="00EE2475">
      <w:pPr>
        <w:rPr>
          <w:rFonts w:ascii="Arial" w:hAnsi="Arial" w:cs="Arial"/>
          <w:b/>
        </w:rPr>
      </w:pPr>
    </w:p>
    <w:p w14:paraId="607E3384" w14:textId="33670FEE" w:rsidR="00B42790" w:rsidRDefault="009F2B8F" w:rsidP="00574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January </w:t>
      </w:r>
      <w:r w:rsidR="005742DB" w:rsidRPr="00051223">
        <w:rPr>
          <w:rFonts w:ascii="Arial" w:hAnsi="Arial" w:cs="Arial"/>
          <w:b/>
        </w:rPr>
        <w:t>20</w:t>
      </w:r>
      <w:r w:rsidR="00C9654D">
        <w:rPr>
          <w:rFonts w:ascii="Arial" w:hAnsi="Arial" w:cs="Arial"/>
          <w:b/>
        </w:rPr>
        <w:t>2</w:t>
      </w:r>
      <w:r w:rsidR="00054E4F">
        <w:rPr>
          <w:rFonts w:ascii="Arial" w:hAnsi="Arial" w:cs="Arial"/>
          <w:b/>
        </w:rPr>
        <w:t>4</w:t>
      </w:r>
    </w:p>
    <w:p w14:paraId="1B3E39AE" w14:textId="3D378E58" w:rsidR="004571A4" w:rsidRPr="004571A4" w:rsidRDefault="004571A4" w:rsidP="004571A4">
      <w:pPr>
        <w:rPr>
          <w:rFonts w:ascii="Arial" w:hAnsi="Arial" w:cs="Arial"/>
        </w:rPr>
      </w:pPr>
    </w:p>
    <w:p w14:paraId="2F1BE75D" w14:textId="77777777" w:rsidR="00C9654D" w:rsidRPr="007F0980" w:rsidRDefault="00C9654D" w:rsidP="00C9654D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>Please share with your faculty:</w:t>
      </w:r>
    </w:p>
    <w:p w14:paraId="0B554ED5" w14:textId="5C788EC1" w:rsidR="00C9654D" w:rsidRDefault="00054E4F" w:rsidP="004571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Resources for effectively analyzing and presenting program assessment </w:t>
      </w:r>
      <w:proofErr w:type="gramStart"/>
      <w:r>
        <w:rPr>
          <w:rFonts w:ascii="Arial" w:hAnsi="Arial" w:cs="Arial"/>
          <w:b/>
          <w:bCs/>
        </w:rPr>
        <w:t>data</w:t>
      </w:r>
      <w:proofErr w:type="gramEnd"/>
    </w:p>
    <w:p w14:paraId="5D96EC19" w14:textId="77777777" w:rsidR="00054E4F" w:rsidRDefault="00054E4F" w:rsidP="004571A4">
      <w:pPr>
        <w:rPr>
          <w:rFonts w:ascii="Arial" w:hAnsi="Arial" w:cs="Arial"/>
          <w:b/>
          <w:bCs/>
        </w:rPr>
      </w:pPr>
    </w:p>
    <w:p w14:paraId="574D9AA4" w14:textId="289F3A26" w:rsidR="0072177A" w:rsidRDefault="00775765" w:rsidP="00AC7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work on your program assessment reports, it is important to consider how to most effectively analyze and present assessment data so that the data can be </w:t>
      </w:r>
      <w:r w:rsidR="008F6E60">
        <w:rPr>
          <w:rFonts w:ascii="Arial" w:hAnsi="Arial" w:cs="Arial"/>
        </w:rPr>
        <w:t>meaningfully</w:t>
      </w:r>
      <w:r>
        <w:rPr>
          <w:rFonts w:ascii="Arial" w:hAnsi="Arial" w:cs="Arial"/>
        </w:rPr>
        <w:t xml:space="preserve"> </w:t>
      </w:r>
      <w:r w:rsidR="0010782A">
        <w:rPr>
          <w:rFonts w:ascii="Arial" w:hAnsi="Arial" w:cs="Arial"/>
        </w:rPr>
        <w:t xml:space="preserve">used </w:t>
      </w:r>
      <w:r w:rsidR="008F6E60">
        <w:rPr>
          <w:rFonts w:ascii="Arial" w:hAnsi="Arial" w:cs="Arial"/>
        </w:rPr>
        <w:t xml:space="preserve">to </w:t>
      </w:r>
      <w:r w:rsidR="0010782A">
        <w:rPr>
          <w:rFonts w:ascii="Arial" w:hAnsi="Arial" w:cs="Arial"/>
        </w:rPr>
        <w:t>inform program improvemen</w:t>
      </w:r>
      <w:r w:rsidR="008F6E60">
        <w:rPr>
          <w:rFonts w:ascii="Arial" w:hAnsi="Arial" w:cs="Arial"/>
        </w:rPr>
        <w:t xml:space="preserve">t, </w:t>
      </w:r>
      <w:r w:rsidR="0010782A">
        <w:rPr>
          <w:rFonts w:ascii="Arial" w:hAnsi="Arial" w:cs="Arial"/>
        </w:rPr>
        <w:t xml:space="preserve">student learning and instruction.  The following </w:t>
      </w:r>
      <w:hyperlink r:id="rId8" w:history="1">
        <w:r w:rsidR="0010782A" w:rsidRPr="00775765">
          <w:rPr>
            <w:rStyle w:val="Hyperlink"/>
            <w:rFonts w:ascii="Arial" w:hAnsi="Arial" w:cs="Arial"/>
          </w:rPr>
          <w:t>web</w:t>
        </w:r>
        <w:r w:rsidR="0010782A" w:rsidRPr="00775765">
          <w:rPr>
            <w:rStyle w:val="Hyperlink"/>
            <w:rFonts w:ascii="Arial" w:hAnsi="Arial" w:cs="Arial"/>
          </w:rPr>
          <w:t>site</w:t>
        </w:r>
      </w:hyperlink>
      <w:r w:rsidR="0010782A">
        <w:rPr>
          <w:rFonts w:ascii="Arial" w:hAnsi="Arial" w:cs="Arial"/>
        </w:rPr>
        <w:t xml:space="preserve"> from Truckee</w:t>
      </w:r>
      <w:r w:rsidR="008F6E60">
        <w:rPr>
          <w:rFonts w:ascii="Arial" w:hAnsi="Arial" w:cs="Arial"/>
        </w:rPr>
        <w:t xml:space="preserve"> Meadows</w:t>
      </w:r>
      <w:r w:rsidR="00107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Community College provides useful tips for analyzing and presenting program assessment data.  </w:t>
      </w:r>
    </w:p>
    <w:p w14:paraId="42949CC4" w14:textId="77777777" w:rsidR="0072177A" w:rsidRDefault="0072177A" w:rsidP="00AC74AD">
      <w:pPr>
        <w:rPr>
          <w:rFonts w:ascii="Arial" w:hAnsi="Arial" w:cs="Arial"/>
        </w:rPr>
      </w:pPr>
    </w:p>
    <w:p w14:paraId="2F7286EB" w14:textId="57325FDE" w:rsidR="0072177A" w:rsidRDefault="00775765" w:rsidP="00AC74AD">
      <w:pPr>
        <w:rPr>
          <w:rFonts w:ascii="Arial" w:hAnsi="Arial" w:cs="Arial"/>
        </w:rPr>
      </w:pPr>
      <w:r>
        <w:rPr>
          <w:rFonts w:ascii="Arial" w:hAnsi="Arial" w:cs="Arial"/>
        </w:rPr>
        <w:t>One of these recommendations includes using both quantitative and qualitative analyses to answer questions about the extent of student learning in a program</w:t>
      </w:r>
      <w:r w:rsidR="0072177A">
        <w:rPr>
          <w:rFonts w:ascii="Arial" w:hAnsi="Arial" w:cs="Arial"/>
        </w:rPr>
        <w:t xml:space="preserve">.  Quantitative analysis involves collecting and presenting numerical data such as the range of scores, or the mean score on an assessment.  Qualitative analyses involve providing a narrative about students’ performance and compliments quantitative analysis by answering possible how and why questions about students’ performance.  </w:t>
      </w:r>
    </w:p>
    <w:p w14:paraId="636C28FF" w14:textId="77777777" w:rsidR="0072177A" w:rsidRDefault="0072177A" w:rsidP="00AC74AD">
      <w:pPr>
        <w:rPr>
          <w:rFonts w:ascii="Arial" w:hAnsi="Arial" w:cs="Arial"/>
        </w:rPr>
      </w:pPr>
    </w:p>
    <w:p w14:paraId="07695055" w14:textId="3248F4D5" w:rsidR="00A411E9" w:rsidRDefault="00A411E9" w:rsidP="00AC7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Another recommendation is to always analyze data in the context of student learning goals and objectives.  The data should be </w:t>
      </w:r>
      <w:r w:rsidR="00ED4859">
        <w:rPr>
          <w:rFonts w:ascii="Arial" w:hAnsi="Arial" w:cs="Arial"/>
        </w:rPr>
        <w:t xml:space="preserve">analyzed and presented in a manner that </w:t>
      </w:r>
      <w:r>
        <w:rPr>
          <w:rFonts w:ascii="Arial" w:hAnsi="Arial" w:cs="Arial"/>
        </w:rPr>
        <w:t>answer</w:t>
      </w:r>
      <w:r w:rsidR="00ED48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questions about the extent </w:t>
      </w:r>
      <w:r w:rsidR="00ED4859">
        <w:rPr>
          <w:rFonts w:ascii="Arial" w:hAnsi="Arial" w:cs="Arial"/>
        </w:rPr>
        <w:t>of student learning and their attainment of program goals and objectives</w:t>
      </w:r>
      <w:r>
        <w:rPr>
          <w:rFonts w:ascii="Arial" w:hAnsi="Arial" w:cs="Arial"/>
        </w:rPr>
        <w:t xml:space="preserve">.  With this purpose in mind, </w:t>
      </w:r>
      <w:r w:rsidR="00ED4859">
        <w:rPr>
          <w:rFonts w:ascii="Arial" w:hAnsi="Arial" w:cs="Arial"/>
        </w:rPr>
        <w:t>consideration should be paid to the audience for which the assessment data will be presented and shared (e.g., students, faculty members, administrators, outside evaluators)</w:t>
      </w:r>
      <w:r>
        <w:rPr>
          <w:rFonts w:ascii="Arial" w:hAnsi="Arial" w:cs="Arial"/>
        </w:rPr>
        <w:t>.</w:t>
      </w:r>
    </w:p>
    <w:p w14:paraId="29346F48" w14:textId="77777777" w:rsidR="00A411E9" w:rsidRDefault="00A411E9" w:rsidP="00AC74AD">
      <w:pPr>
        <w:rPr>
          <w:rFonts w:ascii="Arial" w:hAnsi="Arial" w:cs="Arial"/>
        </w:rPr>
      </w:pPr>
    </w:p>
    <w:p w14:paraId="0BDFC742" w14:textId="781B3974" w:rsidR="0072177A" w:rsidRDefault="00A411E9" w:rsidP="00AC74AD">
      <w:pPr>
        <w:rPr>
          <w:rFonts w:ascii="Arial" w:hAnsi="Arial" w:cs="Arial"/>
        </w:rPr>
      </w:pPr>
      <w:r>
        <w:rPr>
          <w:rFonts w:ascii="Arial" w:hAnsi="Arial" w:cs="Arial"/>
        </w:rPr>
        <w:t>In addition, it is advised that data is compared to data collected from previous semesters</w:t>
      </w:r>
      <w:r w:rsidR="00ED4859">
        <w:rPr>
          <w:rFonts w:ascii="Arial" w:hAnsi="Arial" w:cs="Arial"/>
        </w:rPr>
        <w:t xml:space="preserve"> so that the trajectory program changes and improvements can be observed.  </w:t>
      </w:r>
      <w:r w:rsidR="0072177A">
        <w:rPr>
          <w:rFonts w:ascii="Arial" w:hAnsi="Arial" w:cs="Arial"/>
        </w:rPr>
        <w:t>In fact</w:t>
      </w:r>
      <w:r>
        <w:rPr>
          <w:rFonts w:ascii="Arial" w:hAnsi="Arial" w:cs="Arial"/>
        </w:rPr>
        <w:t xml:space="preserve">, in </w:t>
      </w:r>
      <w:hyperlink r:id="rId9" w:history="1">
        <w:r w:rsidRPr="00A411E9">
          <w:rPr>
            <w:rStyle w:val="Hyperlink"/>
            <w:rFonts w:ascii="Arial" w:hAnsi="Arial" w:cs="Arial"/>
          </w:rPr>
          <w:t>MSCHE’s Evidence Expectations by Standards Guidelines</w:t>
        </w:r>
      </w:hyperlink>
      <w:r>
        <w:rPr>
          <w:rFonts w:ascii="Arial" w:hAnsi="Arial" w:cs="Arial"/>
        </w:rPr>
        <w:t xml:space="preserve"> under evidence for Standard V it is expected that each program provides “</w:t>
      </w:r>
      <w:r w:rsidRPr="00A411E9">
        <w:rPr>
          <w:rFonts w:ascii="Arial" w:hAnsi="Arial" w:cs="Arial"/>
        </w:rPr>
        <w:t xml:space="preserve">analysis of four years of student achievement data, disaggregated by relevant populations, to help interpret educational effectiveness assessment results/summaries”.  </w:t>
      </w:r>
      <w:r>
        <w:rPr>
          <w:rFonts w:ascii="Arial" w:hAnsi="Arial" w:cs="Arial"/>
        </w:rPr>
        <w:t xml:space="preserve">In other words, programs should collect, analyze, and compare program assessment data over the course of a </w:t>
      </w:r>
      <w:r w:rsidR="00ED4859">
        <w:rPr>
          <w:rFonts w:ascii="Arial" w:hAnsi="Arial" w:cs="Arial"/>
        </w:rPr>
        <w:t>four-year</w:t>
      </w:r>
      <w:r>
        <w:rPr>
          <w:rFonts w:ascii="Arial" w:hAnsi="Arial" w:cs="Arial"/>
        </w:rPr>
        <w:t xml:space="preserve"> period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draw meaningful conclusions about program effectiveness in meeting student </w:t>
      </w:r>
      <w:r>
        <w:rPr>
          <w:rFonts w:ascii="Arial" w:hAnsi="Arial" w:cs="Arial"/>
        </w:rPr>
        <w:lastRenderedPageBreak/>
        <w:t>learning goals and objectives</w:t>
      </w:r>
      <w:r w:rsidR="00ED4859">
        <w:rPr>
          <w:rFonts w:ascii="Arial" w:hAnsi="Arial" w:cs="Arial"/>
        </w:rPr>
        <w:t xml:space="preserve"> over time</w:t>
      </w:r>
      <w:r>
        <w:rPr>
          <w:rFonts w:ascii="Arial" w:hAnsi="Arial" w:cs="Arial"/>
        </w:rPr>
        <w:t xml:space="preserve">. </w:t>
      </w:r>
      <w:r w:rsidR="00ED4859">
        <w:rPr>
          <w:rFonts w:ascii="Arial" w:hAnsi="Arial" w:cs="Arial"/>
        </w:rPr>
        <w:t>Comparing data across student populations is also important for identifying any gaps in student learning outcomes across student populations so that more equitable approaches can be taken.  Finally</w:t>
      </w:r>
      <w:r w:rsidR="0010782A">
        <w:rPr>
          <w:rFonts w:ascii="Arial" w:hAnsi="Arial" w:cs="Arial"/>
        </w:rPr>
        <w:t>,</w:t>
      </w:r>
      <w:r w:rsidR="00ED4859">
        <w:rPr>
          <w:rFonts w:ascii="Arial" w:hAnsi="Arial" w:cs="Arial"/>
        </w:rPr>
        <w:t xml:space="preserve"> data should be analyzed within the context of benchmarks or standard</w:t>
      </w:r>
      <w:r w:rsidR="0010782A">
        <w:rPr>
          <w:rFonts w:ascii="Arial" w:hAnsi="Arial" w:cs="Arial"/>
        </w:rPr>
        <w:t>s</w:t>
      </w:r>
      <w:r w:rsidR="00ED4859">
        <w:rPr>
          <w:rFonts w:ascii="Arial" w:hAnsi="Arial" w:cs="Arial"/>
        </w:rPr>
        <w:t xml:space="preserve"> for learning so that programs </w:t>
      </w:r>
      <w:r w:rsidR="0010782A">
        <w:rPr>
          <w:rFonts w:ascii="Arial" w:hAnsi="Arial" w:cs="Arial"/>
        </w:rPr>
        <w:t>can identify and improve any areas of weakness.</w:t>
      </w:r>
    </w:p>
    <w:p w14:paraId="6380AF98" w14:textId="77777777" w:rsidR="0010782A" w:rsidRDefault="0010782A" w:rsidP="00AC74AD">
      <w:pPr>
        <w:rPr>
          <w:rFonts w:ascii="Arial" w:hAnsi="Arial" w:cs="Arial"/>
        </w:rPr>
      </w:pPr>
    </w:p>
    <w:p w14:paraId="0810AB7D" w14:textId="4393EAEF" w:rsidR="00AC74AD" w:rsidRPr="0010782A" w:rsidRDefault="0010782A" w:rsidP="00107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bottom of the Truckee Meadows Community College website on Analyzing/Interpreting Assessment Data are useful guides from </w:t>
      </w:r>
      <w:r w:rsidRPr="0010782A">
        <w:rPr>
          <w:rFonts w:ascii="Arial" w:hAnsi="Arial" w:cs="Arial"/>
        </w:rPr>
        <w:t xml:space="preserve">Washington State University’s Office of Assessment for Curricular Effectiveness </w:t>
      </w:r>
      <w:r>
        <w:rPr>
          <w:rFonts w:ascii="Arial" w:hAnsi="Arial" w:cs="Arial"/>
        </w:rPr>
        <w:t>on ways to effectively organize and present different types of qualitative and quantitative data, including a guide on quantitative analysis and display of rubric data.</w:t>
      </w:r>
    </w:p>
    <w:p w14:paraId="467003DE" w14:textId="77777777" w:rsidR="008734F6" w:rsidRPr="0010782A" w:rsidRDefault="008734F6" w:rsidP="00E536DB">
      <w:pPr>
        <w:rPr>
          <w:rFonts w:ascii="Arial" w:hAnsi="Arial" w:cs="Arial"/>
        </w:rPr>
      </w:pPr>
    </w:p>
    <w:p w14:paraId="2BC3AA26" w14:textId="6510544F" w:rsidR="008C4A2C" w:rsidRDefault="008C4A2C" w:rsidP="004571A4">
      <w:pPr>
        <w:rPr>
          <w:rFonts w:ascii="Arial" w:hAnsi="Arial" w:cs="Arial"/>
        </w:rPr>
      </w:pPr>
    </w:p>
    <w:p w14:paraId="0AE926B2" w14:textId="19777E1F" w:rsidR="00775765" w:rsidRDefault="0010782A" w:rsidP="004571A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References:  </w:t>
      </w:r>
      <w:r>
        <w:rPr>
          <w:rFonts w:ascii="Arial" w:hAnsi="Arial" w:cs="Arial"/>
        </w:rPr>
        <w:t xml:space="preserve">Truckee Community College. </w:t>
      </w:r>
      <w:r w:rsidRPr="0010782A">
        <w:rPr>
          <w:rFonts w:ascii="Arial" w:hAnsi="Arial" w:cs="Arial"/>
          <w:i/>
          <w:iCs/>
        </w:rPr>
        <w:t>Interpreting Assessment Data</w:t>
      </w:r>
      <w:r>
        <w:rPr>
          <w:rFonts w:ascii="Arial" w:hAnsi="Arial" w:cs="Arial"/>
        </w:rPr>
        <w:t xml:space="preserve">.  Retrieved December 20, 2023, from </w:t>
      </w:r>
      <w:hyperlink r:id="rId10" w:history="1">
        <w:r w:rsidRPr="00995CB3">
          <w:rPr>
            <w:rStyle w:val="Hyperlink"/>
            <w:rFonts w:ascii="Arial" w:hAnsi="Arial" w:cs="Arial"/>
          </w:rPr>
          <w:t>https://www.tmcc.edu/assessment/analyzing-assessment-data</w:t>
        </w:r>
      </w:hyperlink>
    </w:p>
    <w:p w14:paraId="65B99BC7" w14:textId="77777777" w:rsidR="0010782A" w:rsidRDefault="0010782A" w:rsidP="004571A4">
      <w:pPr>
        <w:rPr>
          <w:rFonts w:ascii="Arial" w:hAnsi="Arial" w:cs="Arial"/>
        </w:rPr>
      </w:pPr>
    </w:p>
    <w:p w14:paraId="50432401" w14:textId="77777777" w:rsidR="00120D03" w:rsidRPr="00120D03" w:rsidRDefault="00120D03" w:rsidP="00120D03">
      <w:pPr>
        <w:rPr>
          <w:rFonts w:ascii="Arial" w:hAnsi="Arial" w:cs="Arial"/>
        </w:rPr>
      </w:pPr>
    </w:p>
    <w:p w14:paraId="44EE25E6" w14:textId="78DB4E96" w:rsidR="008C4A2C" w:rsidRPr="00A12967" w:rsidRDefault="00120D03" w:rsidP="008C4A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</w:t>
      </w:r>
      <w:r w:rsidRPr="00CC7692">
        <w:rPr>
          <w:rFonts w:ascii="Arial" w:hAnsi="Arial" w:cs="Arial"/>
          <w:b/>
          <w:bCs/>
        </w:rPr>
        <w:t>share examples</w:t>
      </w:r>
      <w:r w:rsidRPr="00CC7692">
        <w:rPr>
          <w:rFonts w:ascii="Arial" w:hAnsi="Arial" w:cs="Arial"/>
        </w:rPr>
        <w:t xml:space="preserve"> </w:t>
      </w:r>
      <w:r w:rsidRPr="00120D03">
        <w:rPr>
          <w:rFonts w:ascii="Arial" w:hAnsi="Arial" w:cs="Arial"/>
        </w:rPr>
        <w:t xml:space="preserve">Please share examples of how </w:t>
      </w:r>
      <w:r w:rsidR="0010782A">
        <w:rPr>
          <w:rFonts w:ascii="Arial" w:hAnsi="Arial" w:cs="Arial"/>
        </w:rPr>
        <w:t xml:space="preserve">your program effectively analyzes and presents assessment data </w:t>
      </w:r>
      <w:r w:rsidRPr="00120D03">
        <w:rPr>
          <w:rFonts w:ascii="Arial" w:hAnsi="Arial" w:cs="Arial"/>
        </w:rPr>
        <w:t>and I will feature those ex</w:t>
      </w:r>
      <w:r>
        <w:rPr>
          <w:rFonts w:ascii="Arial" w:hAnsi="Arial" w:cs="Arial"/>
        </w:rPr>
        <w:t xml:space="preserve">ample </w:t>
      </w:r>
      <w:r w:rsidR="004C0FC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 </w:t>
      </w:r>
      <w:hyperlink r:id="rId11" w:history="1">
        <w:r w:rsidR="008C4A2C" w:rsidRPr="00A12967">
          <w:rPr>
            <w:rStyle w:val="Hyperlink"/>
            <w:rFonts w:ascii="Arial" w:hAnsi="Arial" w:cs="Arial"/>
          </w:rPr>
          <w:t>YU’s Learning Assessment Website</w:t>
        </w:r>
      </w:hyperlink>
      <w:r w:rsidR="008C4A2C" w:rsidRPr="00A12967">
        <w:rPr>
          <w:rFonts w:ascii="Arial" w:hAnsi="Arial" w:cs="Arial"/>
        </w:rPr>
        <w:t xml:space="preserve">. </w:t>
      </w:r>
    </w:p>
    <w:p w14:paraId="2CB0357A" w14:textId="7F004D80" w:rsidR="004571A4" w:rsidRPr="004571A4" w:rsidRDefault="004571A4" w:rsidP="004571A4">
      <w:pPr>
        <w:rPr>
          <w:rFonts w:ascii="Arial" w:hAnsi="Arial" w:cs="Arial"/>
        </w:rPr>
      </w:pPr>
    </w:p>
    <w:p w14:paraId="6949C92E" w14:textId="3E6E1368" w:rsidR="00120D03" w:rsidRPr="00D446CE" w:rsidRDefault="000C1B23" w:rsidP="00120D0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Important reminder:  </w:t>
      </w:r>
      <w:r w:rsidR="00120D03" w:rsidRPr="00D446CE">
        <w:rPr>
          <w:rFonts w:ascii="Arial" w:hAnsi="Arial" w:cs="Arial"/>
        </w:rPr>
        <w:t>Fall 202</w:t>
      </w:r>
      <w:r w:rsidR="0010782A" w:rsidRPr="00D446CE">
        <w:rPr>
          <w:rFonts w:ascii="Arial" w:hAnsi="Arial" w:cs="Arial"/>
        </w:rPr>
        <w:t>3</w:t>
      </w:r>
      <w:r w:rsidR="00120D03" w:rsidRPr="00D446CE">
        <w:rPr>
          <w:rFonts w:ascii="Arial" w:hAnsi="Arial" w:cs="Arial"/>
        </w:rPr>
        <w:t xml:space="preserve"> Assessment Reports are due by</w:t>
      </w:r>
      <w:r w:rsidR="0010782A" w:rsidRPr="00D446CE">
        <w:rPr>
          <w:rFonts w:ascii="Arial" w:hAnsi="Arial" w:cs="Arial"/>
        </w:rPr>
        <w:t xml:space="preserve"> </w:t>
      </w:r>
      <w:r w:rsidR="00BF4839" w:rsidRPr="00D446CE">
        <w:rPr>
          <w:rFonts w:ascii="Arial" w:hAnsi="Arial" w:cs="Arial"/>
        </w:rPr>
        <w:t xml:space="preserve">Friday January </w:t>
      </w:r>
      <w:proofErr w:type="gramStart"/>
      <w:r w:rsidR="00BF4839" w:rsidRPr="00D446CE">
        <w:rPr>
          <w:rFonts w:ascii="Arial" w:hAnsi="Arial" w:cs="Arial"/>
        </w:rPr>
        <w:t>19</w:t>
      </w:r>
      <w:r w:rsidR="00120D03" w:rsidRPr="00D446CE">
        <w:rPr>
          <w:rFonts w:ascii="Arial" w:hAnsi="Arial" w:cs="Arial"/>
        </w:rPr>
        <w:t xml:space="preserve">  If</w:t>
      </w:r>
      <w:proofErr w:type="gramEnd"/>
      <w:r w:rsidR="00120D03" w:rsidRPr="00D446CE">
        <w:rPr>
          <w:rFonts w:ascii="Arial" w:hAnsi="Arial" w:cs="Arial"/>
        </w:rPr>
        <w:t xml:space="preserve"> you have any questions about preparing your reports, please contact me. Thank you!</w:t>
      </w:r>
    </w:p>
    <w:p w14:paraId="4EB7E591" w14:textId="77777777" w:rsidR="00120D03" w:rsidRPr="004571A4" w:rsidRDefault="00120D03" w:rsidP="00120D03">
      <w:pPr>
        <w:rPr>
          <w:rFonts w:ascii="Arial" w:hAnsi="Arial" w:cs="Arial"/>
        </w:rPr>
      </w:pPr>
    </w:p>
    <w:p w14:paraId="49AA32F1" w14:textId="7FEECF2D" w:rsidR="004571A4" w:rsidRDefault="004571A4" w:rsidP="004571A4">
      <w:pPr>
        <w:rPr>
          <w:rFonts w:ascii="Arial" w:hAnsi="Arial" w:cs="Arial"/>
          <w:b/>
        </w:rPr>
      </w:pPr>
    </w:p>
    <w:p w14:paraId="2633EB10" w14:textId="30CD8EB1" w:rsidR="004571A4" w:rsidRPr="004571A4" w:rsidRDefault="004571A4" w:rsidP="004571A4">
      <w:pPr>
        <w:rPr>
          <w:rFonts w:ascii="Arial" w:hAnsi="Arial" w:cs="Arial"/>
        </w:rPr>
      </w:pPr>
    </w:p>
    <w:p w14:paraId="58E7F9E3" w14:textId="566A4E48" w:rsidR="004571A4" w:rsidRPr="004571A4" w:rsidRDefault="004571A4" w:rsidP="004571A4">
      <w:pPr>
        <w:rPr>
          <w:rFonts w:ascii="Arial" w:hAnsi="Arial" w:cs="Arial"/>
        </w:rPr>
      </w:pPr>
    </w:p>
    <w:p w14:paraId="474A11AC" w14:textId="7F94D470" w:rsidR="004571A4" w:rsidRPr="004571A4" w:rsidRDefault="004571A4" w:rsidP="004571A4">
      <w:pPr>
        <w:rPr>
          <w:rFonts w:ascii="Arial" w:hAnsi="Arial" w:cs="Arial"/>
        </w:rPr>
      </w:pPr>
    </w:p>
    <w:p w14:paraId="4BC1B1FB" w14:textId="77777777" w:rsidR="004571A4" w:rsidRPr="004571A4" w:rsidRDefault="004571A4" w:rsidP="004571A4">
      <w:pPr>
        <w:rPr>
          <w:rFonts w:ascii="Arial" w:hAnsi="Arial" w:cs="Arial"/>
        </w:rPr>
      </w:pPr>
    </w:p>
    <w:p w14:paraId="435E1A4B" w14:textId="77777777" w:rsidR="004571A4" w:rsidRPr="004571A4" w:rsidRDefault="004571A4" w:rsidP="004571A4">
      <w:pPr>
        <w:rPr>
          <w:rFonts w:ascii="Arial" w:hAnsi="Arial" w:cs="Arial"/>
        </w:rPr>
      </w:pPr>
    </w:p>
    <w:p w14:paraId="2CB16ABE" w14:textId="77777777" w:rsidR="004571A4" w:rsidRPr="004571A4" w:rsidRDefault="004571A4" w:rsidP="004571A4">
      <w:pPr>
        <w:rPr>
          <w:rFonts w:ascii="Arial" w:hAnsi="Arial" w:cs="Arial"/>
        </w:rPr>
      </w:pPr>
    </w:p>
    <w:sectPr w:rsidR="004571A4" w:rsidRPr="004571A4" w:rsidSect="009C65C2">
      <w:headerReference w:type="default" r:id="rId12"/>
      <w:footerReference w:type="default" r:id="rId13"/>
      <w:pgSz w:w="12240" w:h="15840"/>
      <w:pgMar w:top="2520" w:right="1800" w:bottom="1440" w:left="1800" w:header="540" w:footer="1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C2297" w14:textId="77777777" w:rsidR="002545F3" w:rsidRDefault="002545F3" w:rsidP="0003540F">
      <w:r>
        <w:separator/>
      </w:r>
    </w:p>
  </w:endnote>
  <w:endnote w:type="continuationSeparator" w:id="0">
    <w:p w14:paraId="20652319" w14:textId="77777777" w:rsidR="002545F3" w:rsidRDefault="002545F3" w:rsidP="0003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8B91" w14:textId="1E03DA92" w:rsidR="00B85973" w:rsidRPr="009F2B8F" w:rsidRDefault="009C65C2" w:rsidP="009F2B8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Cs/>
      </w:rPr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0" wp14:anchorId="5F7BA05C" wp14:editId="27188716">
          <wp:simplePos x="0" y="0"/>
          <wp:positionH relativeFrom="margin">
            <wp:align>center</wp:align>
          </wp:positionH>
          <wp:positionV relativeFrom="page">
            <wp:posOffset>9125585</wp:posOffset>
          </wp:positionV>
          <wp:extent cx="2515870" cy="4603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_YU_Shield_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A6936" w14:textId="77777777" w:rsidR="002545F3" w:rsidRDefault="002545F3" w:rsidP="0003540F">
      <w:r>
        <w:separator/>
      </w:r>
    </w:p>
  </w:footnote>
  <w:footnote w:type="continuationSeparator" w:id="0">
    <w:p w14:paraId="375F561B" w14:textId="77777777" w:rsidR="002545F3" w:rsidRDefault="002545F3" w:rsidP="0003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7A51" w14:textId="4E869C6D" w:rsidR="00B85973" w:rsidRDefault="00B85973" w:rsidP="00051223">
    <w:pPr>
      <w:pStyle w:val="Header"/>
      <w:tabs>
        <w:tab w:val="clear" w:pos="4320"/>
        <w:tab w:val="left" w:pos="3260"/>
      </w:tabs>
      <w:jc w:val="cen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4F9CC63" wp14:editId="159C9E2C">
          <wp:simplePos x="0" y="0"/>
          <wp:positionH relativeFrom="margi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Assessment_Head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51E"/>
    <w:multiLevelType w:val="hybridMultilevel"/>
    <w:tmpl w:val="32C05CAC"/>
    <w:lvl w:ilvl="0" w:tplc="C6B8FEC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026DAC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D265D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E9A487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F78857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84443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5C6FF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D0A95B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CE02E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DC6159F"/>
    <w:multiLevelType w:val="hybridMultilevel"/>
    <w:tmpl w:val="556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228"/>
    <w:multiLevelType w:val="hybridMultilevel"/>
    <w:tmpl w:val="92184F7E"/>
    <w:lvl w:ilvl="0" w:tplc="08867E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42623"/>
    <w:multiLevelType w:val="hybridMultilevel"/>
    <w:tmpl w:val="8014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350103">
    <w:abstractNumId w:val="1"/>
  </w:num>
  <w:num w:numId="2" w16cid:durableId="165096193">
    <w:abstractNumId w:val="2"/>
  </w:num>
  <w:num w:numId="3" w16cid:durableId="1681082961">
    <w:abstractNumId w:val="0"/>
  </w:num>
  <w:num w:numId="4" w16cid:durableId="1382292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0F"/>
    <w:rsid w:val="00015EC2"/>
    <w:rsid w:val="0003540F"/>
    <w:rsid w:val="00051223"/>
    <w:rsid w:val="00054E1E"/>
    <w:rsid w:val="00054E4F"/>
    <w:rsid w:val="00060E03"/>
    <w:rsid w:val="000960A6"/>
    <w:rsid w:val="000C1B23"/>
    <w:rsid w:val="000C60E2"/>
    <w:rsid w:val="0010782A"/>
    <w:rsid w:val="00120D03"/>
    <w:rsid w:val="00194610"/>
    <w:rsid w:val="00240A15"/>
    <w:rsid w:val="002545F3"/>
    <w:rsid w:val="00262AF0"/>
    <w:rsid w:val="00271601"/>
    <w:rsid w:val="002C328D"/>
    <w:rsid w:val="002C72E9"/>
    <w:rsid w:val="002D260E"/>
    <w:rsid w:val="003036E1"/>
    <w:rsid w:val="003376F7"/>
    <w:rsid w:val="003E79F5"/>
    <w:rsid w:val="004121AB"/>
    <w:rsid w:val="004571A4"/>
    <w:rsid w:val="004A4FD3"/>
    <w:rsid w:val="004C0FC3"/>
    <w:rsid w:val="0053075E"/>
    <w:rsid w:val="00557074"/>
    <w:rsid w:val="005742DB"/>
    <w:rsid w:val="005769AE"/>
    <w:rsid w:val="006A0A03"/>
    <w:rsid w:val="006B6DDE"/>
    <w:rsid w:val="006F2F0A"/>
    <w:rsid w:val="00702E7A"/>
    <w:rsid w:val="0072177A"/>
    <w:rsid w:val="00775765"/>
    <w:rsid w:val="007A4040"/>
    <w:rsid w:val="007B0F52"/>
    <w:rsid w:val="00853A89"/>
    <w:rsid w:val="00853E38"/>
    <w:rsid w:val="008734F6"/>
    <w:rsid w:val="008874DD"/>
    <w:rsid w:val="008C4A2C"/>
    <w:rsid w:val="008F6E60"/>
    <w:rsid w:val="00900273"/>
    <w:rsid w:val="0091471B"/>
    <w:rsid w:val="009B3041"/>
    <w:rsid w:val="009C65C2"/>
    <w:rsid w:val="009D34A9"/>
    <w:rsid w:val="009D572F"/>
    <w:rsid w:val="009D73A3"/>
    <w:rsid w:val="009E1A77"/>
    <w:rsid w:val="009F2B8F"/>
    <w:rsid w:val="00A14573"/>
    <w:rsid w:val="00A153F2"/>
    <w:rsid w:val="00A411E9"/>
    <w:rsid w:val="00A72FE6"/>
    <w:rsid w:val="00A86677"/>
    <w:rsid w:val="00AA656B"/>
    <w:rsid w:val="00AC74AD"/>
    <w:rsid w:val="00AE3DBE"/>
    <w:rsid w:val="00AF2038"/>
    <w:rsid w:val="00B15F03"/>
    <w:rsid w:val="00B2025A"/>
    <w:rsid w:val="00B25E58"/>
    <w:rsid w:val="00B3117A"/>
    <w:rsid w:val="00B42790"/>
    <w:rsid w:val="00B52117"/>
    <w:rsid w:val="00B60773"/>
    <w:rsid w:val="00B85973"/>
    <w:rsid w:val="00B95614"/>
    <w:rsid w:val="00BE1C0C"/>
    <w:rsid w:val="00BF4839"/>
    <w:rsid w:val="00C02B2A"/>
    <w:rsid w:val="00C234DD"/>
    <w:rsid w:val="00C8017D"/>
    <w:rsid w:val="00C91CFE"/>
    <w:rsid w:val="00C9654D"/>
    <w:rsid w:val="00CB3792"/>
    <w:rsid w:val="00CC7A33"/>
    <w:rsid w:val="00D446CE"/>
    <w:rsid w:val="00DA2EB0"/>
    <w:rsid w:val="00E16A07"/>
    <w:rsid w:val="00E536DB"/>
    <w:rsid w:val="00EC568F"/>
    <w:rsid w:val="00ED4859"/>
    <w:rsid w:val="00EE2475"/>
    <w:rsid w:val="00EE4503"/>
    <w:rsid w:val="00EF1A5F"/>
    <w:rsid w:val="00EF4A48"/>
    <w:rsid w:val="00F525D1"/>
    <w:rsid w:val="00F7371B"/>
    <w:rsid w:val="00F7618C"/>
    <w:rsid w:val="00FB5B88"/>
    <w:rsid w:val="00FC2BBB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9C6549"/>
  <w15:docId w15:val="{9AB996E0-21B0-4361-8A5C-84716973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2F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A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2FE6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8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0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mcc.edu/assessment/analyzing-assessment-dat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u.edu/provost/assess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mcc.edu/assessment/analyzing-assessment-data" TargetMode="External"/><Relationship Id="rId4" Type="http://schemas.openxmlformats.org/officeDocument/2006/relationships/settings" Target="settings.xml"/><Relationship Id="rId9" Type="http://schemas.openxmlformats.org/officeDocument/2006/relationships/hyperlink" Target="C://Users/ebner/Dropbox/My%20PC%20(DESKTOP-FMAIVSK)/Downloads/evidence-expectations-by-standard-guidelines%20v.2023-08-22%20(7)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2614C-AE4E-48BB-BAF8-88D63795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Rachel Ebner</cp:lastModifiedBy>
  <cp:revision>19</cp:revision>
  <dcterms:created xsi:type="dcterms:W3CDTF">2019-05-13T16:58:00Z</dcterms:created>
  <dcterms:modified xsi:type="dcterms:W3CDTF">2023-12-21T01:16:00Z</dcterms:modified>
</cp:coreProperties>
</file>